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CB7A8" w14:textId="763B608F" w:rsidR="00BA6B79" w:rsidRDefault="00BA6B79" w:rsidP="00BA6B79">
      <w:pPr>
        <w:pStyle w:val="Title"/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</w:p>
    <w:p w14:paraId="5DFE8FF5" w14:textId="77777777" w:rsidR="00BA6B79" w:rsidRDefault="00BA6B79" w:rsidP="00B545DE">
      <w:pPr>
        <w:pStyle w:val="Title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</w:p>
    <w:p w14:paraId="09E58173" w14:textId="77777777" w:rsidR="00BA6B79" w:rsidRDefault="00BA6B79" w:rsidP="00B545DE">
      <w:pPr>
        <w:pStyle w:val="Title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</w:p>
    <w:p w14:paraId="44A3CB47" w14:textId="77777777" w:rsidR="00BA6B79" w:rsidRDefault="00BA6B79" w:rsidP="00B545DE">
      <w:pPr>
        <w:pStyle w:val="Title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</w:p>
    <w:p w14:paraId="5ABA4CF7" w14:textId="77777777" w:rsidR="00BA6B79" w:rsidRDefault="00BA6B79" w:rsidP="00B545DE">
      <w:pPr>
        <w:pStyle w:val="Title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</w:p>
    <w:p w14:paraId="5FA5EE3B" w14:textId="77777777" w:rsidR="00BA6B79" w:rsidRPr="00BA6B79" w:rsidRDefault="00BA6B79" w:rsidP="00BA6B7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7BB146F7" w14:textId="77777777" w:rsidR="00BA6B79" w:rsidRPr="00BA6B79" w:rsidRDefault="00BA6B79" w:rsidP="00BA6B7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5AFC6365" w14:textId="77777777" w:rsidR="00BA6B79" w:rsidRPr="00BA6B79" w:rsidRDefault="00BA6B79" w:rsidP="00BA6B7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/>
        </w:rPr>
      </w:pPr>
      <w:r w:rsidRPr="00BA6B79">
        <w:rPr>
          <w:rFonts w:ascii="Arial" w:eastAsia="Times New Roman" w:hAnsi="Arial" w:cs="Arial"/>
          <w:sz w:val="24"/>
          <w:szCs w:val="24"/>
          <w:lang w:val="en-GB"/>
        </w:rPr>
        <w:t>Interpretation of Financial Statements</w:t>
      </w:r>
    </w:p>
    <w:p w14:paraId="1F7E08AA" w14:textId="77777777" w:rsidR="00BA6B79" w:rsidRPr="00BA6B79" w:rsidRDefault="00BA6B79" w:rsidP="00BA6B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411F159C" w14:textId="77777777" w:rsidR="00BA6B79" w:rsidRPr="00BA6B79" w:rsidRDefault="00BA6B79" w:rsidP="00BA6B7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en-GB"/>
        </w:rPr>
      </w:pPr>
    </w:p>
    <w:p w14:paraId="7A58CFF1" w14:textId="77777777" w:rsidR="00BA6B79" w:rsidRPr="00BA6B79" w:rsidRDefault="00BA6B79" w:rsidP="00BA6B7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val="en-GB"/>
        </w:rPr>
      </w:pPr>
    </w:p>
    <w:p w14:paraId="3C2E3C26" w14:textId="77777777" w:rsidR="00BA6B79" w:rsidRDefault="00BA6B79" w:rsidP="00B545DE">
      <w:pPr>
        <w:pStyle w:val="Title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</w:p>
    <w:p w14:paraId="54C65159" w14:textId="77777777" w:rsidR="00BA6B79" w:rsidRDefault="00BA6B79" w:rsidP="00B545DE">
      <w:pPr>
        <w:pStyle w:val="Title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</w:p>
    <w:p w14:paraId="572BB17A" w14:textId="77777777" w:rsidR="00BA6B79" w:rsidRDefault="00BA6B79" w:rsidP="00B545DE">
      <w:pPr>
        <w:pStyle w:val="Title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</w:p>
    <w:p w14:paraId="42446F9C" w14:textId="77777777" w:rsidR="00BA6B79" w:rsidRDefault="00BA6B79" w:rsidP="00B545DE">
      <w:pPr>
        <w:pStyle w:val="Title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</w:p>
    <w:p w14:paraId="567A88CA" w14:textId="77777777" w:rsidR="00BA6B79" w:rsidRDefault="00BA6B79" w:rsidP="00B545DE">
      <w:pPr>
        <w:pStyle w:val="Title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</w:p>
    <w:p w14:paraId="35DE9469" w14:textId="77777777" w:rsidR="00BA6B79" w:rsidRDefault="00BA6B79" w:rsidP="00B545DE">
      <w:pPr>
        <w:pStyle w:val="Title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</w:p>
    <w:p w14:paraId="36F0509E" w14:textId="77777777" w:rsidR="00BA6B79" w:rsidRDefault="00BA6B79" w:rsidP="00B545DE">
      <w:pPr>
        <w:pStyle w:val="Title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</w:p>
    <w:p w14:paraId="3C519A63" w14:textId="77777777" w:rsidR="00BA6B79" w:rsidRPr="00BA6B79" w:rsidRDefault="00BA6B79" w:rsidP="00BA6B79">
      <w:pPr>
        <w:rPr>
          <w:lang w:val="en-GB"/>
        </w:rPr>
      </w:pPr>
    </w:p>
    <w:p w14:paraId="219C8B67" w14:textId="77777777" w:rsidR="00BA6B79" w:rsidRDefault="00BA6B79" w:rsidP="00B545DE">
      <w:pPr>
        <w:pStyle w:val="Title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</w:p>
    <w:p w14:paraId="0D9CB42E" w14:textId="77777777" w:rsidR="00BA6B79" w:rsidRDefault="00BA6B79" w:rsidP="00B545DE">
      <w:pPr>
        <w:pStyle w:val="Title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</w:p>
    <w:p w14:paraId="4FB9004F" w14:textId="77777777" w:rsidR="00BA6B79" w:rsidRDefault="00BA6B79" w:rsidP="00B545DE">
      <w:pPr>
        <w:pStyle w:val="Title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</w:p>
    <w:p w14:paraId="074DA800" w14:textId="77777777" w:rsidR="00BA6B79" w:rsidRDefault="00BA6B79" w:rsidP="00B545DE">
      <w:pPr>
        <w:pStyle w:val="Title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</w:p>
    <w:p w14:paraId="4932BE8C" w14:textId="77777777" w:rsidR="00BA6B79" w:rsidRDefault="00BA6B79" w:rsidP="00B545DE">
      <w:pPr>
        <w:pStyle w:val="Title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</w:p>
    <w:p w14:paraId="3AC4E3B1" w14:textId="77777777" w:rsidR="00BA6B79" w:rsidRDefault="00BA6B79" w:rsidP="00B545DE">
      <w:pPr>
        <w:pStyle w:val="Title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</w:p>
    <w:p w14:paraId="2E5FC72E" w14:textId="77777777" w:rsidR="00BA6B79" w:rsidRDefault="00BA6B79" w:rsidP="00B545DE">
      <w:pPr>
        <w:pStyle w:val="Title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</w:p>
    <w:p w14:paraId="2B690D4C" w14:textId="77777777" w:rsidR="00BA6B79" w:rsidRDefault="00BA6B79" w:rsidP="00B545DE">
      <w:pPr>
        <w:pStyle w:val="Title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</w:p>
    <w:p w14:paraId="782FF16D" w14:textId="77777777" w:rsidR="00BA6B79" w:rsidRDefault="00BA6B79" w:rsidP="00B545DE">
      <w:pPr>
        <w:pStyle w:val="Title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</w:p>
    <w:p w14:paraId="624DD41D" w14:textId="77777777" w:rsidR="00BA6B79" w:rsidRDefault="00BA6B79" w:rsidP="00B545DE">
      <w:pPr>
        <w:pStyle w:val="Title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</w:p>
    <w:p w14:paraId="5ECF3D91" w14:textId="77777777" w:rsidR="00BA6B79" w:rsidRDefault="00BA6B79" w:rsidP="00B545DE">
      <w:pPr>
        <w:pStyle w:val="Title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</w:p>
    <w:p w14:paraId="4F79C622" w14:textId="77777777" w:rsidR="00B545DE" w:rsidRPr="00B545DE" w:rsidRDefault="00B545DE" w:rsidP="00B545DE">
      <w:pPr>
        <w:pStyle w:val="Title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  <w:r w:rsidRPr="00B545DE"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  <w:t>Financi</w:t>
      </w:r>
      <w:r w:rsidR="00BA59B2"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  <w:t xml:space="preserve">al Statement Analysis </w:t>
      </w:r>
    </w:p>
    <w:p w14:paraId="0DB2D3C2" w14:textId="77777777" w:rsidR="00B545DE" w:rsidRPr="00B545DE" w:rsidRDefault="00B545DE" w:rsidP="00B545DE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20725EF1" w14:textId="77777777" w:rsidR="00B545DE" w:rsidRPr="00B545DE" w:rsidRDefault="00B545DE" w:rsidP="00B545DE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B545DE">
        <w:rPr>
          <w:rFonts w:ascii="Arial" w:hAnsi="Arial" w:cs="Arial"/>
          <w:sz w:val="24"/>
          <w:szCs w:val="24"/>
          <w:lang w:val="en-GB"/>
        </w:rPr>
        <w:t>Students are to write a financial analy</w:t>
      </w:r>
      <w:r w:rsidR="00760ACB">
        <w:rPr>
          <w:rFonts w:ascii="Arial" w:hAnsi="Arial" w:cs="Arial"/>
          <w:sz w:val="24"/>
          <w:szCs w:val="24"/>
          <w:lang w:val="en-GB"/>
        </w:rPr>
        <w:t>sis report for</w:t>
      </w:r>
      <w:r>
        <w:rPr>
          <w:rFonts w:ascii="Arial" w:hAnsi="Arial" w:cs="Arial"/>
          <w:sz w:val="24"/>
          <w:szCs w:val="24"/>
          <w:lang w:val="en-GB"/>
        </w:rPr>
        <w:t xml:space="preserve"> Lockdown Ltd</w:t>
      </w:r>
      <w:r w:rsidRPr="00B545DE">
        <w:rPr>
          <w:rFonts w:ascii="Arial" w:hAnsi="Arial" w:cs="Arial"/>
          <w:sz w:val="24"/>
          <w:szCs w:val="24"/>
          <w:lang w:val="en-GB"/>
        </w:rPr>
        <w:t>.</w:t>
      </w:r>
    </w:p>
    <w:p w14:paraId="31E56673" w14:textId="77777777" w:rsidR="00B545DE" w:rsidRDefault="00B545DE" w:rsidP="00BE7C01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8981BE6" w14:textId="77777777" w:rsidR="002E6A12" w:rsidRPr="00335B2D" w:rsidRDefault="009F47C8" w:rsidP="00BE7C0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Lockdown </w:t>
      </w:r>
      <w:r w:rsidR="00D520F0" w:rsidRPr="00335B2D">
        <w:rPr>
          <w:rFonts w:ascii="Arial" w:hAnsi="Arial" w:cs="Arial"/>
          <w:b/>
          <w:sz w:val="24"/>
          <w:szCs w:val="24"/>
          <w:u w:val="single"/>
        </w:rPr>
        <w:t>Ltd</w:t>
      </w:r>
      <w:r w:rsidR="00D520F0" w:rsidRPr="00335B2D">
        <w:rPr>
          <w:rFonts w:ascii="Arial" w:hAnsi="Arial" w:cs="Arial"/>
          <w:sz w:val="24"/>
          <w:szCs w:val="24"/>
        </w:rPr>
        <w:t xml:space="preserve"> is a chain of </w:t>
      </w:r>
      <w:r w:rsidR="00B66D3B" w:rsidRPr="00335B2D">
        <w:rPr>
          <w:rFonts w:ascii="Arial" w:hAnsi="Arial" w:cs="Arial"/>
          <w:sz w:val="24"/>
          <w:szCs w:val="24"/>
        </w:rPr>
        <w:t>o</w:t>
      </w:r>
      <w:r w:rsidR="00303552" w:rsidRPr="00335B2D">
        <w:rPr>
          <w:rFonts w:ascii="Arial" w:hAnsi="Arial" w:cs="Arial"/>
          <w:sz w:val="24"/>
          <w:szCs w:val="24"/>
        </w:rPr>
        <w:t>ff-</w:t>
      </w:r>
      <w:r w:rsidR="005B0FE1" w:rsidRPr="00335B2D">
        <w:rPr>
          <w:rFonts w:ascii="Arial" w:hAnsi="Arial" w:cs="Arial"/>
          <w:sz w:val="24"/>
          <w:szCs w:val="24"/>
        </w:rPr>
        <w:t>licence’</w:t>
      </w:r>
      <w:r w:rsidR="00A16299">
        <w:rPr>
          <w:rFonts w:ascii="Arial" w:hAnsi="Arial" w:cs="Arial"/>
          <w:sz w:val="24"/>
          <w:szCs w:val="24"/>
        </w:rPr>
        <w:t>s</w:t>
      </w:r>
      <w:r w:rsidR="005B0FE1" w:rsidRPr="00335B2D">
        <w:rPr>
          <w:rFonts w:ascii="Arial" w:hAnsi="Arial" w:cs="Arial"/>
          <w:sz w:val="24"/>
          <w:szCs w:val="24"/>
        </w:rPr>
        <w:t xml:space="preserve"> selling a</w:t>
      </w:r>
      <w:r w:rsidR="00303552" w:rsidRPr="00335B2D">
        <w:rPr>
          <w:rFonts w:ascii="Arial" w:hAnsi="Arial" w:cs="Arial"/>
          <w:sz w:val="24"/>
          <w:szCs w:val="24"/>
        </w:rPr>
        <w:t xml:space="preserve">lcohol beverages </w:t>
      </w:r>
      <w:r w:rsidR="00C86935">
        <w:rPr>
          <w:rFonts w:ascii="Arial" w:hAnsi="Arial" w:cs="Arial"/>
          <w:sz w:val="24"/>
          <w:szCs w:val="24"/>
        </w:rPr>
        <w:t>and has share ownership with t</w:t>
      </w:r>
      <w:r w:rsidR="00D520F0" w:rsidRPr="00335B2D">
        <w:rPr>
          <w:rFonts w:ascii="Arial" w:hAnsi="Arial" w:cs="Arial"/>
          <w:sz w:val="24"/>
          <w:szCs w:val="24"/>
        </w:rPr>
        <w:t xml:space="preserve">wo brothers Paddy &amp; John McGuiness. </w:t>
      </w:r>
      <w:r w:rsidR="00927691" w:rsidRPr="00335B2D">
        <w:rPr>
          <w:rFonts w:ascii="Arial" w:hAnsi="Arial" w:cs="Arial"/>
          <w:sz w:val="24"/>
          <w:szCs w:val="24"/>
        </w:rPr>
        <w:t>The company was established in 2010 by the brothers, they are the only shareholders owning 50% each.</w:t>
      </w:r>
    </w:p>
    <w:p w14:paraId="0E732365" w14:textId="77777777" w:rsidR="005B0FE1" w:rsidRPr="00335B2D" w:rsidRDefault="005B0FE1" w:rsidP="00BE7C01">
      <w:pPr>
        <w:spacing w:line="360" w:lineRule="auto"/>
        <w:rPr>
          <w:rFonts w:ascii="Arial" w:hAnsi="Arial" w:cs="Arial"/>
          <w:sz w:val="24"/>
          <w:szCs w:val="24"/>
        </w:rPr>
      </w:pPr>
      <w:r w:rsidRPr="00335B2D">
        <w:rPr>
          <w:rFonts w:ascii="Arial" w:hAnsi="Arial" w:cs="Arial"/>
          <w:sz w:val="24"/>
          <w:szCs w:val="24"/>
        </w:rPr>
        <w:lastRenderedPageBreak/>
        <w:t xml:space="preserve">The two brothers set up </w:t>
      </w:r>
      <w:r w:rsidR="00C86935">
        <w:rPr>
          <w:rFonts w:ascii="Arial" w:hAnsi="Arial" w:cs="Arial"/>
          <w:sz w:val="24"/>
          <w:szCs w:val="24"/>
        </w:rPr>
        <w:t xml:space="preserve">the company </w:t>
      </w:r>
      <w:r w:rsidRPr="00335B2D">
        <w:rPr>
          <w:rFonts w:ascii="Arial" w:hAnsi="Arial" w:cs="Arial"/>
          <w:sz w:val="24"/>
          <w:szCs w:val="24"/>
        </w:rPr>
        <w:t>after being let go from their positions as bar manager and hotel duty manager respectively in</w:t>
      </w:r>
      <w:r w:rsidR="009B0490">
        <w:rPr>
          <w:rFonts w:ascii="Arial" w:hAnsi="Arial" w:cs="Arial"/>
          <w:sz w:val="24"/>
          <w:szCs w:val="24"/>
        </w:rPr>
        <w:t xml:space="preserve"> late 2009. The brothers felt </w:t>
      </w:r>
      <w:r w:rsidR="00C86935">
        <w:rPr>
          <w:rFonts w:ascii="Arial" w:hAnsi="Arial" w:cs="Arial"/>
          <w:sz w:val="24"/>
          <w:szCs w:val="24"/>
        </w:rPr>
        <w:t xml:space="preserve">that </w:t>
      </w:r>
      <w:r w:rsidR="009B0490">
        <w:rPr>
          <w:rFonts w:ascii="Arial" w:hAnsi="Arial" w:cs="Arial"/>
          <w:sz w:val="24"/>
          <w:szCs w:val="24"/>
        </w:rPr>
        <w:t>at that</w:t>
      </w:r>
      <w:r w:rsidR="00C86935">
        <w:rPr>
          <w:rFonts w:ascii="Arial" w:hAnsi="Arial" w:cs="Arial"/>
          <w:sz w:val="24"/>
          <w:szCs w:val="24"/>
        </w:rPr>
        <w:t xml:space="preserve"> time, </w:t>
      </w:r>
      <w:r w:rsidR="00C86935" w:rsidRPr="00335B2D">
        <w:rPr>
          <w:rFonts w:ascii="Arial" w:hAnsi="Arial" w:cs="Arial"/>
          <w:sz w:val="24"/>
          <w:szCs w:val="24"/>
        </w:rPr>
        <w:t>off-licence</w:t>
      </w:r>
      <w:r w:rsidR="00C86935">
        <w:rPr>
          <w:rFonts w:ascii="Arial" w:hAnsi="Arial" w:cs="Arial"/>
          <w:sz w:val="24"/>
          <w:szCs w:val="24"/>
        </w:rPr>
        <w:t xml:space="preserve"> was</w:t>
      </w:r>
      <w:r w:rsidRPr="00335B2D">
        <w:rPr>
          <w:rFonts w:ascii="Arial" w:hAnsi="Arial" w:cs="Arial"/>
          <w:sz w:val="24"/>
          <w:szCs w:val="24"/>
        </w:rPr>
        <w:t xml:space="preserve"> the way fo</w:t>
      </w:r>
      <w:r w:rsidR="00C86935">
        <w:rPr>
          <w:rFonts w:ascii="Arial" w:hAnsi="Arial" w:cs="Arial"/>
          <w:sz w:val="24"/>
          <w:szCs w:val="24"/>
        </w:rPr>
        <w:t>rward during the downturn in</w:t>
      </w:r>
      <w:r w:rsidRPr="00335B2D">
        <w:rPr>
          <w:rFonts w:ascii="Arial" w:hAnsi="Arial" w:cs="Arial"/>
          <w:sz w:val="24"/>
          <w:szCs w:val="24"/>
        </w:rPr>
        <w:t xml:space="preserve"> the economy. </w:t>
      </w:r>
    </w:p>
    <w:p w14:paraId="72218F30" w14:textId="77777777" w:rsidR="00927691" w:rsidRPr="00335B2D" w:rsidRDefault="009F47C8" w:rsidP="00BE7C0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Lockdown</w:t>
      </w:r>
      <w:r w:rsidR="00927691" w:rsidRPr="00335B2D">
        <w:rPr>
          <w:rFonts w:ascii="Arial" w:hAnsi="Arial" w:cs="Arial"/>
          <w:sz w:val="24"/>
          <w:szCs w:val="24"/>
        </w:rPr>
        <w:t xml:space="preserve"> Ltd started off with just the two stores with each brother running one each. </w:t>
      </w:r>
      <w:r w:rsidR="00927691" w:rsidRPr="00335B2D">
        <w:rPr>
          <w:rFonts w:ascii="Arial" w:hAnsi="Arial" w:cs="Arial"/>
          <w:b/>
          <w:sz w:val="24"/>
          <w:szCs w:val="24"/>
        </w:rPr>
        <w:t>In 2014</w:t>
      </w:r>
      <w:r w:rsidR="00927691" w:rsidRPr="00335B2D">
        <w:rPr>
          <w:rFonts w:ascii="Arial" w:hAnsi="Arial" w:cs="Arial"/>
          <w:sz w:val="24"/>
          <w:szCs w:val="24"/>
        </w:rPr>
        <w:t xml:space="preserve">, an opportunity to purchase </w:t>
      </w:r>
      <w:r w:rsidR="00927691" w:rsidRPr="00335B2D">
        <w:rPr>
          <w:rFonts w:ascii="Arial" w:hAnsi="Arial" w:cs="Arial"/>
          <w:sz w:val="24"/>
          <w:szCs w:val="24"/>
          <w:u w:val="single"/>
        </w:rPr>
        <w:t>six more stores ar</w:t>
      </w:r>
      <w:r w:rsidR="00C47ED6" w:rsidRPr="00335B2D">
        <w:rPr>
          <w:rFonts w:ascii="Arial" w:hAnsi="Arial" w:cs="Arial"/>
          <w:sz w:val="24"/>
          <w:szCs w:val="24"/>
          <w:u w:val="single"/>
        </w:rPr>
        <w:t>o</w:t>
      </w:r>
      <w:r w:rsidR="00927691" w:rsidRPr="00335B2D">
        <w:rPr>
          <w:rFonts w:ascii="Arial" w:hAnsi="Arial" w:cs="Arial"/>
          <w:sz w:val="24"/>
          <w:szCs w:val="24"/>
          <w:u w:val="single"/>
        </w:rPr>
        <w:t>se</w:t>
      </w:r>
      <w:r w:rsidR="00927691" w:rsidRPr="00335B2D">
        <w:rPr>
          <w:rFonts w:ascii="Arial" w:hAnsi="Arial" w:cs="Arial"/>
          <w:sz w:val="24"/>
          <w:szCs w:val="24"/>
        </w:rPr>
        <w:t xml:space="preserve"> and with the first two stores being profitable the brothers jumped at the chance to expand. A manager was employed at each of the extra stores. </w:t>
      </w:r>
    </w:p>
    <w:p w14:paraId="0C7F18CE" w14:textId="77777777" w:rsidR="00927691" w:rsidRPr="00335B2D" w:rsidRDefault="00927691" w:rsidP="00BE7C01">
      <w:pPr>
        <w:spacing w:line="360" w:lineRule="auto"/>
        <w:rPr>
          <w:rFonts w:ascii="Arial" w:hAnsi="Arial" w:cs="Arial"/>
          <w:sz w:val="24"/>
          <w:szCs w:val="24"/>
        </w:rPr>
      </w:pPr>
      <w:r w:rsidRPr="00335B2D">
        <w:rPr>
          <w:rFonts w:ascii="Arial" w:hAnsi="Arial" w:cs="Arial"/>
          <w:b/>
          <w:sz w:val="24"/>
          <w:szCs w:val="24"/>
        </w:rPr>
        <w:t>On January 1</w:t>
      </w:r>
      <w:r w:rsidRPr="00335B2D">
        <w:rPr>
          <w:rFonts w:ascii="Arial" w:hAnsi="Arial" w:cs="Arial"/>
          <w:b/>
          <w:sz w:val="24"/>
          <w:szCs w:val="24"/>
          <w:vertAlign w:val="superscript"/>
        </w:rPr>
        <w:t>st</w:t>
      </w:r>
      <w:r w:rsidRPr="00335B2D">
        <w:rPr>
          <w:rFonts w:ascii="Arial" w:hAnsi="Arial" w:cs="Arial"/>
          <w:b/>
          <w:sz w:val="24"/>
          <w:szCs w:val="24"/>
        </w:rPr>
        <w:t xml:space="preserve"> 2019</w:t>
      </w:r>
      <w:r w:rsidRPr="00335B2D">
        <w:rPr>
          <w:rFonts w:ascii="Arial" w:hAnsi="Arial" w:cs="Arial"/>
          <w:sz w:val="24"/>
          <w:szCs w:val="24"/>
        </w:rPr>
        <w:t xml:space="preserve"> </w:t>
      </w:r>
      <w:r w:rsidR="009F47C8">
        <w:rPr>
          <w:rFonts w:ascii="Arial" w:hAnsi="Arial" w:cs="Arial"/>
          <w:sz w:val="24"/>
          <w:szCs w:val="24"/>
        </w:rPr>
        <w:t>Lockdown</w:t>
      </w:r>
      <w:r w:rsidRPr="00335B2D">
        <w:rPr>
          <w:rFonts w:ascii="Arial" w:hAnsi="Arial" w:cs="Arial"/>
          <w:sz w:val="24"/>
          <w:szCs w:val="24"/>
        </w:rPr>
        <w:t xml:space="preserve"> Ltd purchased </w:t>
      </w:r>
      <w:r w:rsidRPr="00335B2D">
        <w:rPr>
          <w:rFonts w:ascii="Arial" w:hAnsi="Arial" w:cs="Arial"/>
          <w:sz w:val="24"/>
          <w:szCs w:val="24"/>
          <w:u w:val="single"/>
        </w:rPr>
        <w:t>two more stores</w:t>
      </w:r>
      <w:r w:rsidRPr="00335B2D">
        <w:rPr>
          <w:rFonts w:ascii="Arial" w:hAnsi="Arial" w:cs="Arial"/>
          <w:sz w:val="24"/>
          <w:szCs w:val="24"/>
        </w:rPr>
        <w:t xml:space="preserve"> but with the company expanding rapidly the brothers were no longer able to work within the off-licence</w:t>
      </w:r>
      <w:r w:rsidR="00052C90">
        <w:rPr>
          <w:rFonts w:ascii="Arial" w:hAnsi="Arial" w:cs="Arial"/>
          <w:sz w:val="24"/>
          <w:szCs w:val="24"/>
        </w:rPr>
        <w:t>s themselves</w:t>
      </w:r>
      <w:r w:rsidRPr="00335B2D">
        <w:rPr>
          <w:rFonts w:ascii="Arial" w:hAnsi="Arial" w:cs="Arial"/>
          <w:sz w:val="24"/>
          <w:szCs w:val="24"/>
        </w:rPr>
        <w:t xml:space="preserve"> and each of the </w:t>
      </w:r>
      <w:r w:rsidRPr="00335B2D">
        <w:rPr>
          <w:rFonts w:ascii="Arial" w:hAnsi="Arial" w:cs="Arial"/>
          <w:sz w:val="24"/>
          <w:szCs w:val="24"/>
          <w:u w:val="single"/>
        </w:rPr>
        <w:t>10 stores</w:t>
      </w:r>
      <w:r w:rsidRPr="00335B2D">
        <w:rPr>
          <w:rFonts w:ascii="Arial" w:hAnsi="Arial" w:cs="Arial"/>
          <w:sz w:val="24"/>
          <w:szCs w:val="24"/>
        </w:rPr>
        <w:t xml:space="preserve"> employed a </w:t>
      </w:r>
      <w:r w:rsidR="00BD18B2" w:rsidRPr="00335B2D">
        <w:rPr>
          <w:rFonts w:ascii="Arial" w:hAnsi="Arial" w:cs="Arial"/>
          <w:sz w:val="24"/>
          <w:szCs w:val="24"/>
        </w:rPr>
        <w:t>full-time</w:t>
      </w:r>
      <w:r w:rsidRPr="00335B2D">
        <w:rPr>
          <w:rFonts w:ascii="Arial" w:hAnsi="Arial" w:cs="Arial"/>
          <w:sz w:val="24"/>
          <w:szCs w:val="24"/>
        </w:rPr>
        <w:t xml:space="preserve"> manager.</w:t>
      </w:r>
    </w:p>
    <w:p w14:paraId="02E74DC3" w14:textId="77777777" w:rsidR="007B1882" w:rsidRDefault="00927691" w:rsidP="009F47C8">
      <w:pPr>
        <w:spacing w:line="360" w:lineRule="auto"/>
        <w:rPr>
          <w:rFonts w:ascii="Arial" w:hAnsi="Arial" w:cs="Arial"/>
          <w:sz w:val="24"/>
          <w:szCs w:val="24"/>
        </w:rPr>
      </w:pPr>
      <w:r w:rsidRPr="00335B2D">
        <w:rPr>
          <w:rFonts w:ascii="Arial" w:hAnsi="Arial" w:cs="Arial"/>
          <w:sz w:val="24"/>
          <w:szCs w:val="24"/>
        </w:rPr>
        <w:t xml:space="preserve">Along with </w:t>
      </w:r>
      <w:r w:rsidR="000843A6" w:rsidRPr="00335B2D">
        <w:rPr>
          <w:rFonts w:ascii="Arial" w:hAnsi="Arial" w:cs="Arial"/>
          <w:sz w:val="24"/>
          <w:szCs w:val="24"/>
        </w:rPr>
        <w:t>each of the 10 stores employing</w:t>
      </w:r>
      <w:r w:rsidRPr="00335B2D">
        <w:rPr>
          <w:rFonts w:ascii="Arial" w:hAnsi="Arial" w:cs="Arial"/>
          <w:sz w:val="24"/>
          <w:szCs w:val="24"/>
        </w:rPr>
        <w:t xml:space="preserve"> a full time manager, one other full time and two part time staff are employed in each store. </w:t>
      </w:r>
    </w:p>
    <w:p w14:paraId="7E9EEAC8" w14:textId="77777777" w:rsidR="00B633EE" w:rsidRDefault="00B633EE" w:rsidP="009F47C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During 2019 the brothers started supplying </w:t>
      </w:r>
      <w:r w:rsidR="006B45FF">
        <w:rPr>
          <w:rFonts w:ascii="Arial" w:hAnsi="Arial" w:cs="Arial"/>
          <w:sz w:val="24"/>
          <w:szCs w:val="24"/>
        </w:rPr>
        <w:t xml:space="preserve">wholesale to </w:t>
      </w:r>
      <w:r>
        <w:rPr>
          <w:rFonts w:ascii="Arial" w:hAnsi="Arial" w:cs="Arial"/>
          <w:sz w:val="24"/>
          <w:szCs w:val="24"/>
        </w:rPr>
        <w:t>the pubs and res</w:t>
      </w:r>
      <w:r w:rsidR="006B45FF">
        <w:rPr>
          <w:rFonts w:ascii="Arial" w:hAnsi="Arial" w:cs="Arial"/>
          <w:sz w:val="24"/>
          <w:szCs w:val="24"/>
        </w:rPr>
        <w:t>taurants in the local area</w:t>
      </w:r>
      <w:r>
        <w:rPr>
          <w:rFonts w:ascii="Arial" w:hAnsi="Arial" w:cs="Arial"/>
          <w:sz w:val="24"/>
          <w:szCs w:val="24"/>
        </w:rPr>
        <w:t xml:space="preserve">, giving generous credit terms. </w:t>
      </w:r>
    </w:p>
    <w:p w14:paraId="31A1FCA9" w14:textId="77777777" w:rsidR="00537E9F" w:rsidRDefault="00537E9F" w:rsidP="009F47C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brothers are also thinking of investing in delivery Vans for each store in 2020, they want to know from your expertise would this be a good move going forward as a business. </w:t>
      </w:r>
    </w:p>
    <w:p w14:paraId="2E66AF7F" w14:textId="77777777" w:rsidR="000C2C71" w:rsidRDefault="000C2C71" w:rsidP="009F47C8">
      <w:pPr>
        <w:spacing w:line="360" w:lineRule="auto"/>
        <w:rPr>
          <w:rFonts w:ascii="Arial" w:hAnsi="Arial" w:cs="Arial"/>
          <w:sz w:val="24"/>
          <w:szCs w:val="24"/>
        </w:rPr>
      </w:pPr>
    </w:p>
    <w:p w14:paraId="34675548" w14:textId="77777777" w:rsidR="009F47C8" w:rsidRDefault="001C1F65" w:rsidP="009F47C8">
      <w:pPr>
        <w:spacing w:line="360" w:lineRule="auto"/>
        <w:rPr>
          <w:rFonts w:ascii="Arial" w:hAnsi="Arial" w:cs="Arial"/>
          <w:sz w:val="24"/>
          <w:szCs w:val="24"/>
        </w:rPr>
      </w:pPr>
      <w:r w:rsidRPr="000A5069">
        <w:rPr>
          <w:rFonts w:ascii="Arial" w:hAnsi="Arial" w:cs="Arial"/>
          <w:sz w:val="24"/>
          <w:szCs w:val="24"/>
        </w:rPr>
        <w:t>The brothers Paddy &amp; John McGuiness are pleased with the way business is going but neither are up</w:t>
      </w:r>
      <w:r w:rsidR="005B0FE1" w:rsidRPr="000A5069">
        <w:rPr>
          <w:rFonts w:ascii="Arial" w:hAnsi="Arial" w:cs="Arial"/>
          <w:sz w:val="24"/>
          <w:szCs w:val="24"/>
        </w:rPr>
        <w:t xml:space="preserve"> to date with accounting</w:t>
      </w:r>
      <w:r w:rsidRPr="000A5069">
        <w:rPr>
          <w:rFonts w:ascii="Arial" w:hAnsi="Arial" w:cs="Arial"/>
          <w:sz w:val="24"/>
          <w:szCs w:val="24"/>
        </w:rPr>
        <w:t xml:space="preserve"> or good with figures. </w:t>
      </w:r>
      <w:r w:rsidR="005B0FE1" w:rsidRPr="000A5069">
        <w:rPr>
          <w:rFonts w:ascii="Arial" w:hAnsi="Arial" w:cs="Arial"/>
          <w:sz w:val="24"/>
          <w:szCs w:val="24"/>
        </w:rPr>
        <w:t xml:space="preserve">The brothers have asked for your expertise in analysing </w:t>
      </w:r>
      <w:r w:rsidR="009F47C8" w:rsidRPr="000A5069">
        <w:rPr>
          <w:rFonts w:ascii="Arial" w:hAnsi="Arial" w:cs="Arial"/>
          <w:sz w:val="24"/>
          <w:szCs w:val="24"/>
        </w:rPr>
        <w:t xml:space="preserve">their </w:t>
      </w:r>
      <w:r w:rsidR="005B0FE1" w:rsidRPr="000A5069">
        <w:rPr>
          <w:rFonts w:ascii="Arial" w:hAnsi="Arial" w:cs="Arial"/>
          <w:sz w:val="24"/>
          <w:szCs w:val="24"/>
        </w:rPr>
        <w:t xml:space="preserve">accounts </w:t>
      </w:r>
      <w:r w:rsidR="009C18F1" w:rsidRPr="000A5069">
        <w:rPr>
          <w:rFonts w:ascii="Arial" w:hAnsi="Arial" w:cs="Arial"/>
          <w:sz w:val="24"/>
          <w:szCs w:val="24"/>
        </w:rPr>
        <w:t xml:space="preserve">and are looking for a report on </w:t>
      </w:r>
      <w:r w:rsidR="009F47C8" w:rsidRPr="000A5069">
        <w:rPr>
          <w:rFonts w:ascii="Arial" w:hAnsi="Arial" w:cs="Arial"/>
          <w:sz w:val="24"/>
          <w:szCs w:val="24"/>
        </w:rPr>
        <w:t>Lockdown</w:t>
      </w:r>
      <w:r w:rsidR="009C18F1" w:rsidRPr="000A5069">
        <w:rPr>
          <w:rFonts w:ascii="Arial" w:hAnsi="Arial" w:cs="Arial"/>
          <w:sz w:val="24"/>
          <w:szCs w:val="24"/>
        </w:rPr>
        <w:t xml:space="preserve"> Ltd</w:t>
      </w:r>
      <w:r w:rsidR="009F47C8" w:rsidRPr="000A5069">
        <w:rPr>
          <w:rFonts w:ascii="Arial" w:hAnsi="Arial" w:cs="Arial"/>
          <w:sz w:val="24"/>
          <w:szCs w:val="24"/>
        </w:rPr>
        <w:t xml:space="preserve"> business health over the following categories</w:t>
      </w:r>
      <w:r w:rsidR="000C2C71">
        <w:rPr>
          <w:rFonts w:ascii="Arial" w:hAnsi="Arial" w:cs="Arial"/>
          <w:sz w:val="24"/>
          <w:szCs w:val="24"/>
        </w:rPr>
        <w:t>:</w:t>
      </w:r>
    </w:p>
    <w:p w14:paraId="7B3F8332" w14:textId="77777777" w:rsidR="007A477B" w:rsidRPr="00495975" w:rsidRDefault="0061707D" w:rsidP="007A477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About Company </w:t>
      </w:r>
      <w:r w:rsidR="007A477B">
        <w:rPr>
          <w:rFonts w:ascii="Arial" w:hAnsi="Arial" w:cs="Arial"/>
          <w:sz w:val="24"/>
          <w:szCs w:val="24"/>
        </w:rPr>
        <w:t>&amp; Accounts (5 marks)</w:t>
      </w:r>
    </w:p>
    <w:p w14:paraId="4E98FF69" w14:textId="77777777" w:rsidR="00335B2D" w:rsidRPr="007A477B" w:rsidRDefault="00335B2D" w:rsidP="007A477B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7A477B">
        <w:rPr>
          <w:rFonts w:ascii="Arial" w:hAnsi="Arial" w:cs="Arial"/>
          <w:sz w:val="24"/>
          <w:szCs w:val="24"/>
        </w:rPr>
        <w:t xml:space="preserve">Profitability </w:t>
      </w:r>
      <w:r w:rsidR="00495975" w:rsidRPr="007A477B">
        <w:rPr>
          <w:rFonts w:ascii="Arial" w:hAnsi="Arial" w:cs="Arial"/>
          <w:sz w:val="24"/>
          <w:szCs w:val="24"/>
        </w:rPr>
        <w:t>(5 marks)</w:t>
      </w:r>
    </w:p>
    <w:p w14:paraId="5E8B4EDC" w14:textId="77777777" w:rsidR="00335B2D" w:rsidRPr="00495975" w:rsidRDefault="00335B2D" w:rsidP="0049597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C2C71">
        <w:rPr>
          <w:rFonts w:ascii="Arial" w:hAnsi="Arial" w:cs="Arial"/>
          <w:sz w:val="24"/>
          <w:szCs w:val="24"/>
        </w:rPr>
        <w:t>Liquidity</w:t>
      </w:r>
      <w:r w:rsidR="00852AD4">
        <w:rPr>
          <w:rFonts w:ascii="Arial" w:hAnsi="Arial" w:cs="Arial"/>
          <w:sz w:val="24"/>
          <w:szCs w:val="24"/>
        </w:rPr>
        <w:t xml:space="preserve"> </w:t>
      </w:r>
      <w:r w:rsidR="00495975">
        <w:rPr>
          <w:rFonts w:ascii="Arial" w:hAnsi="Arial" w:cs="Arial"/>
          <w:sz w:val="24"/>
          <w:szCs w:val="24"/>
        </w:rPr>
        <w:t>(5 marks)</w:t>
      </w:r>
    </w:p>
    <w:p w14:paraId="215D4775" w14:textId="77777777" w:rsidR="00335B2D" w:rsidRPr="00495975" w:rsidRDefault="00335B2D" w:rsidP="0049597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C2C71">
        <w:rPr>
          <w:rFonts w:ascii="Arial" w:hAnsi="Arial" w:cs="Arial"/>
          <w:sz w:val="24"/>
          <w:szCs w:val="24"/>
        </w:rPr>
        <w:t xml:space="preserve">Efficiency </w:t>
      </w:r>
      <w:r w:rsidR="00495975">
        <w:rPr>
          <w:rFonts w:ascii="Arial" w:hAnsi="Arial" w:cs="Arial"/>
          <w:sz w:val="24"/>
          <w:szCs w:val="24"/>
        </w:rPr>
        <w:t>(5 marks)</w:t>
      </w:r>
    </w:p>
    <w:p w14:paraId="128B1ECF" w14:textId="77777777" w:rsidR="00335B2D" w:rsidRPr="00495975" w:rsidRDefault="00335B2D" w:rsidP="0049597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C2C71">
        <w:rPr>
          <w:rFonts w:ascii="Arial" w:hAnsi="Arial" w:cs="Arial"/>
          <w:sz w:val="24"/>
          <w:szCs w:val="24"/>
        </w:rPr>
        <w:t xml:space="preserve">Gearing </w:t>
      </w:r>
      <w:r w:rsidR="00495975">
        <w:rPr>
          <w:rFonts w:ascii="Arial" w:hAnsi="Arial" w:cs="Arial"/>
          <w:sz w:val="24"/>
          <w:szCs w:val="24"/>
        </w:rPr>
        <w:t>(5 marks)</w:t>
      </w:r>
    </w:p>
    <w:p w14:paraId="7E29B3BA" w14:textId="77777777" w:rsidR="000A5069" w:rsidRPr="00495975" w:rsidRDefault="000A5069" w:rsidP="0049597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C2C71">
        <w:rPr>
          <w:rFonts w:ascii="Arial" w:hAnsi="Arial" w:cs="Arial"/>
          <w:sz w:val="24"/>
          <w:szCs w:val="24"/>
        </w:rPr>
        <w:t>Investor</w:t>
      </w:r>
      <w:r w:rsidR="00495975">
        <w:rPr>
          <w:rFonts w:ascii="Arial" w:hAnsi="Arial" w:cs="Arial"/>
          <w:sz w:val="24"/>
          <w:szCs w:val="24"/>
        </w:rPr>
        <w:t xml:space="preserve"> (5 marks)</w:t>
      </w:r>
    </w:p>
    <w:p w14:paraId="20E0E02E" w14:textId="77777777" w:rsidR="00335B2D" w:rsidRPr="000A5069" w:rsidRDefault="00335B2D" w:rsidP="00335B2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A5069">
        <w:rPr>
          <w:rFonts w:ascii="Arial" w:hAnsi="Arial" w:cs="Arial"/>
          <w:sz w:val="24"/>
          <w:szCs w:val="24"/>
        </w:rPr>
        <w:t xml:space="preserve">Comments </w:t>
      </w:r>
      <w:r w:rsidR="00C72789">
        <w:rPr>
          <w:rFonts w:ascii="Arial" w:hAnsi="Arial" w:cs="Arial"/>
          <w:sz w:val="24"/>
          <w:szCs w:val="24"/>
        </w:rPr>
        <w:t>for each section above</w:t>
      </w:r>
      <w:r w:rsidR="00495975">
        <w:rPr>
          <w:rFonts w:ascii="Arial" w:hAnsi="Arial" w:cs="Arial"/>
          <w:sz w:val="24"/>
          <w:szCs w:val="24"/>
        </w:rPr>
        <w:t xml:space="preserve"> (30 marks</w:t>
      </w:r>
      <w:r w:rsidR="006C4DC5">
        <w:rPr>
          <w:rFonts w:ascii="Arial" w:hAnsi="Arial" w:cs="Arial"/>
          <w:sz w:val="24"/>
          <w:szCs w:val="24"/>
        </w:rPr>
        <w:t xml:space="preserve"> – 5 sections * 6 marks each</w:t>
      </w:r>
      <w:r w:rsidR="00495975">
        <w:rPr>
          <w:rFonts w:ascii="Arial" w:hAnsi="Arial" w:cs="Arial"/>
          <w:sz w:val="24"/>
          <w:szCs w:val="24"/>
        </w:rPr>
        <w:t>)</w:t>
      </w:r>
    </w:p>
    <w:p w14:paraId="6E05170E" w14:textId="77777777" w:rsidR="00335B2D" w:rsidRDefault="000A5069" w:rsidP="00335B2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A5069">
        <w:rPr>
          <w:rFonts w:ascii="Arial" w:hAnsi="Arial" w:cs="Arial"/>
          <w:sz w:val="24"/>
          <w:szCs w:val="24"/>
        </w:rPr>
        <w:t>A</w:t>
      </w:r>
      <w:r w:rsidR="00335B2D" w:rsidRPr="000A5069">
        <w:rPr>
          <w:rFonts w:ascii="Arial" w:hAnsi="Arial" w:cs="Arial"/>
          <w:sz w:val="24"/>
          <w:szCs w:val="24"/>
        </w:rPr>
        <w:t xml:space="preserve">dvice for company </w:t>
      </w:r>
      <w:r w:rsidR="00495975">
        <w:rPr>
          <w:rFonts w:ascii="Arial" w:hAnsi="Arial" w:cs="Arial"/>
          <w:sz w:val="24"/>
          <w:szCs w:val="24"/>
        </w:rPr>
        <w:t>(20 marks)</w:t>
      </w:r>
    </w:p>
    <w:p w14:paraId="545265D4" w14:textId="77777777" w:rsidR="00177E98" w:rsidRDefault="00177E98" w:rsidP="00335B2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Share Price advise</w:t>
      </w:r>
      <w:r w:rsidR="00495975">
        <w:rPr>
          <w:rFonts w:ascii="Arial" w:hAnsi="Arial" w:cs="Arial"/>
          <w:sz w:val="24"/>
          <w:szCs w:val="24"/>
        </w:rPr>
        <w:t xml:space="preserve"> (5 marks)</w:t>
      </w:r>
    </w:p>
    <w:p w14:paraId="781945A9" w14:textId="77777777" w:rsidR="00537E9F" w:rsidRPr="000A5069" w:rsidRDefault="00537E9F" w:rsidP="00335B2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Delivery Vans Yes/No</w:t>
      </w:r>
      <w:r w:rsidR="00495975">
        <w:rPr>
          <w:rFonts w:ascii="Arial" w:hAnsi="Arial" w:cs="Arial"/>
          <w:sz w:val="24"/>
          <w:szCs w:val="24"/>
        </w:rPr>
        <w:t xml:space="preserve"> (5 marks)</w:t>
      </w:r>
    </w:p>
    <w:p w14:paraId="7C9267D1" w14:textId="77777777" w:rsidR="000A5069" w:rsidRPr="000A5069" w:rsidRDefault="000A5069" w:rsidP="00335B2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A5069">
        <w:rPr>
          <w:rFonts w:ascii="Arial" w:hAnsi="Arial" w:cs="Arial"/>
          <w:sz w:val="24"/>
          <w:szCs w:val="24"/>
        </w:rPr>
        <w:t>Potential Thre</w:t>
      </w:r>
      <w:r w:rsidR="00495975">
        <w:rPr>
          <w:rFonts w:ascii="Arial" w:hAnsi="Arial" w:cs="Arial"/>
          <w:sz w:val="24"/>
          <w:szCs w:val="24"/>
        </w:rPr>
        <w:t>ats / Future plans (5 marks)</w:t>
      </w:r>
    </w:p>
    <w:p w14:paraId="17A5ADD8" w14:textId="77777777" w:rsidR="00642AE6" w:rsidRPr="00F02D2A" w:rsidRDefault="00495975" w:rsidP="000D428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 (5 marks)</w:t>
      </w:r>
    </w:p>
    <w:p w14:paraId="4A0B071E" w14:textId="77777777" w:rsidR="00642AE6" w:rsidRDefault="00642AE6" w:rsidP="000D4281">
      <w:pPr>
        <w:spacing w:line="360" w:lineRule="auto"/>
        <w:rPr>
          <w:rFonts w:ascii="Arial" w:hAnsi="Arial" w:cs="Arial"/>
          <w:sz w:val="24"/>
          <w:szCs w:val="24"/>
        </w:rPr>
      </w:pPr>
    </w:p>
    <w:p w14:paraId="241CE6F6" w14:textId="77777777" w:rsidR="00F02D2A" w:rsidRPr="007209ED" w:rsidRDefault="00F02D2A" w:rsidP="00F02D2A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209ED">
        <w:rPr>
          <w:rFonts w:ascii="Arial" w:hAnsi="Arial" w:cs="Arial"/>
          <w:b/>
          <w:sz w:val="24"/>
          <w:szCs w:val="24"/>
          <w:u w:val="single"/>
        </w:rPr>
        <w:t>Additional Information:</w:t>
      </w:r>
    </w:p>
    <w:p w14:paraId="03D535C6" w14:textId="77777777" w:rsidR="00F02D2A" w:rsidRDefault="00F02D2A" w:rsidP="00F02D2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brothers are thinking of listing the company on the stock exchange &amp; are looking for advice on the</w:t>
      </w:r>
      <w:r w:rsidR="00852AD4">
        <w:rPr>
          <w:rFonts w:ascii="Arial" w:hAnsi="Arial" w:cs="Arial"/>
          <w:sz w:val="24"/>
          <w:szCs w:val="24"/>
        </w:rPr>
        <w:t xml:space="preserve"> value Lockdown Ltd should have</w:t>
      </w:r>
      <w:r>
        <w:rPr>
          <w:rFonts w:ascii="Arial" w:hAnsi="Arial" w:cs="Arial"/>
          <w:sz w:val="24"/>
          <w:szCs w:val="24"/>
        </w:rPr>
        <w:t xml:space="preserve"> on a </w:t>
      </w:r>
      <w:r w:rsidRPr="009B0490">
        <w:rPr>
          <w:rFonts w:ascii="Arial" w:hAnsi="Arial" w:cs="Arial"/>
          <w:b/>
          <w:sz w:val="24"/>
          <w:szCs w:val="24"/>
          <w:u w:val="single"/>
        </w:rPr>
        <w:t>single share</w:t>
      </w:r>
      <w:r>
        <w:rPr>
          <w:rFonts w:ascii="Arial" w:hAnsi="Arial" w:cs="Arial"/>
          <w:sz w:val="24"/>
          <w:szCs w:val="24"/>
        </w:rPr>
        <w:t>.</w:t>
      </w:r>
    </w:p>
    <w:p w14:paraId="257CAE92" w14:textId="77777777" w:rsidR="00F02D2A" w:rsidRPr="00524209" w:rsidRDefault="00F02D2A" w:rsidP="00F02D2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company in the same industry is listed on the stock exchange with a share price of </w:t>
      </w:r>
      <w:r>
        <w:rPr>
          <w:rFonts w:ascii="Arial" w:hAnsi="Arial" w:cs="Arial"/>
          <w:b/>
          <w:sz w:val="24"/>
          <w:szCs w:val="24"/>
          <w:u w:val="single"/>
        </w:rPr>
        <w:t>€3.3</w:t>
      </w:r>
      <w:r w:rsidRPr="00C853B1">
        <w:rPr>
          <w:rFonts w:ascii="Arial" w:hAnsi="Arial" w:cs="Arial"/>
          <w:b/>
          <w:sz w:val="24"/>
          <w:szCs w:val="24"/>
          <w:u w:val="single"/>
        </w:rPr>
        <w:t>0</w:t>
      </w:r>
      <w:r>
        <w:rPr>
          <w:rFonts w:ascii="Arial" w:hAnsi="Arial" w:cs="Arial"/>
          <w:sz w:val="24"/>
          <w:szCs w:val="24"/>
        </w:rPr>
        <w:t xml:space="preserve"> &amp; a P/E ratio of </w:t>
      </w:r>
      <w:r w:rsidRPr="00524209">
        <w:rPr>
          <w:rFonts w:ascii="Arial" w:hAnsi="Arial" w:cs="Arial"/>
          <w:b/>
          <w:sz w:val="24"/>
          <w:szCs w:val="24"/>
        </w:rPr>
        <w:t xml:space="preserve">12. </w:t>
      </w:r>
    </w:p>
    <w:p w14:paraId="3B41CF03" w14:textId="77777777" w:rsidR="00642AE6" w:rsidRDefault="00642AE6" w:rsidP="000D4281">
      <w:pPr>
        <w:spacing w:line="360" w:lineRule="auto"/>
        <w:rPr>
          <w:rFonts w:ascii="Arial" w:hAnsi="Arial" w:cs="Arial"/>
          <w:sz w:val="24"/>
          <w:szCs w:val="24"/>
        </w:rPr>
      </w:pPr>
    </w:p>
    <w:p w14:paraId="66AF73DD" w14:textId="77777777" w:rsidR="00642AE6" w:rsidRDefault="00642AE6" w:rsidP="000D4281">
      <w:pPr>
        <w:spacing w:line="360" w:lineRule="auto"/>
        <w:rPr>
          <w:rFonts w:ascii="Arial" w:hAnsi="Arial" w:cs="Arial"/>
          <w:sz w:val="24"/>
          <w:szCs w:val="24"/>
        </w:rPr>
      </w:pPr>
    </w:p>
    <w:p w14:paraId="73FCD3F4" w14:textId="77777777" w:rsidR="00642AE6" w:rsidRDefault="00642AE6" w:rsidP="000D4281">
      <w:pPr>
        <w:spacing w:line="360" w:lineRule="auto"/>
        <w:rPr>
          <w:rFonts w:ascii="Arial" w:hAnsi="Arial" w:cs="Arial"/>
          <w:sz w:val="24"/>
          <w:szCs w:val="24"/>
        </w:rPr>
      </w:pPr>
    </w:p>
    <w:p w14:paraId="455C1C58" w14:textId="77777777" w:rsidR="00642AE6" w:rsidRDefault="00642AE6" w:rsidP="000D4281">
      <w:pPr>
        <w:spacing w:line="360" w:lineRule="auto"/>
        <w:rPr>
          <w:rFonts w:ascii="Arial" w:hAnsi="Arial" w:cs="Arial"/>
          <w:sz w:val="24"/>
          <w:szCs w:val="24"/>
        </w:rPr>
      </w:pPr>
    </w:p>
    <w:p w14:paraId="79B83A9A" w14:textId="77777777" w:rsidR="00F94C69" w:rsidRDefault="00F94C69" w:rsidP="000D4281">
      <w:pPr>
        <w:spacing w:line="360" w:lineRule="auto"/>
        <w:rPr>
          <w:rFonts w:ascii="Arial" w:hAnsi="Arial" w:cs="Arial"/>
          <w:sz w:val="24"/>
          <w:szCs w:val="24"/>
        </w:rPr>
      </w:pPr>
    </w:p>
    <w:p w14:paraId="2BAD0F99" w14:textId="77777777" w:rsidR="00FA0488" w:rsidRDefault="00FA0488" w:rsidP="000D4281">
      <w:pPr>
        <w:spacing w:line="360" w:lineRule="auto"/>
        <w:rPr>
          <w:rFonts w:ascii="Arial" w:hAnsi="Arial" w:cs="Arial"/>
          <w:sz w:val="24"/>
          <w:szCs w:val="24"/>
        </w:rPr>
      </w:pPr>
    </w:p>
    <w:p w14:paraId="293C188E" w14:textId="77777777" w:rsidR="000D4281" w:rsidRPr="00335B2D" w:rsidRDefault="000D4281" w:rsidP="000D4281">
      <w:pPr>
        <w:spacing w:line="360" w:lineRule="auto"/>
        <w:rPr>
          <w:rFonts w:ascii="Arial" w:hAnsi="Arial" w:cs="Arial"/>
          <w:sz w:val="24"/>
          <w:szCs w:val="24"/>
        </w:rPr>
      </w:pPr>
      <w:r w:rsidRPr="00335B2D">
        <w:rPr>
          <w:rFonts w:ascii="Arial" w:hAnsi="Arial" w:cs="Arial"/>
          <w:sz w:val="24"/>
          <w:szCs w:val="24"/>
        </w:rPr>
        <w:t>Paddy &amp; John are looking for your expertise in analysing the accounts for the year ending 31/12/2018 &amp; 31/12/2019. Given below:</w:t>
      </w:r>
    </w:p>
    <w:p w14:paraId="0186CD5E" w14:textId="77777777" w:rsidR="000D4281" w:rsidRPr="00335B2D" w:rsidRDefault="000D4281" w:rsidP="000D428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335B2D">
        <w:rPr>
          <w:rFonts w:ascii="Arial" w:hAnsi="Arial" w:cs="Arial"/>
          <w:sz w:val="24"/>
          <w:szCs w:val="24"/>
        </w:rPr>
        <w:t>Income Statement</w:t>
      </w:r>
    </w:p>
    <w:p w14:paraId="2B813118" w14:textId="77777777" w:rsidR="00432659" w:rsidRDefault="000D4281" w:rsidP="009F47C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335B2D">
        <w:rPr>
          <w:rFonts w:ascii="Arial" w:hAnsi="Arial" w:cs="Arial"/>
          <w:sz w:val="24"/>
          <w:szCs w:val="24"/>
        </w:rPr>
        <w:t>Statement of Financial Position (SOFP)</w:t>
      </w:r>
    </w:p>
    <w:p w14:paraId="16452410" w14:textId="77777777" w:rsidR="009F47C8" w:rsidRPr="009F47C8" w:rsidRDefault="009F47C8" w:rsidP="009F47C8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8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0"/>
        <w:gridCol w:w="1394"/>
        <w:gridCol w:w="1395"/>
      </w:tblGrid>
      <w:tr w:rsidR="00B62C10" w:rsidRPr="00B62C10" w14:paraId="1398756E" w14:textId="77777777" w:rsidTr="00B62C10">
        <w:trPr>
          <w:trHeight w:val="402"/>
        </w:trPr>
        <w:tc>
          <w:tcPr>
            <w:tcW w:w="8609" w:type="dxa"/>
            <w:gridSpan w:val="3"/>
            <w:shd w:val="clear" w:color="auto" w:fill="auto"/>
            <w:noWrap/>
            <w:vAlign w:val="bottom"/>
            <w:hideMark/>
          </w:tcPr>
          <w:p w14:paraId="75853D95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  <w:lang w:eastAsia="en-IE"/>
              </w:rPr>
              <w:t>Income Statement of Lockdown Ltd</w:t>
            </w:r>
          </w:p>
        </w:tc>
      </w:tr>
      <w:tr w:rsidR="00B62C10" w:rsidRPr="00B62C10" w14:paraId="4DBD3AC4" w14:textId="77777777" w:rsidTr="00B62C10">
        <w:trPr>
          <w:trHeight w:val="402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5ADDB53B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u w:val="single"/>
                <w:lang w:eastAsia="en-IE"/>
              </w:rPr>
            </w:pP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67E8216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€,000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E513DD0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€,000</w:t>
            </w:r>
          </w:p>
        </w:tc>
      </w:tr>
      <w:tr w:rsidR="00B62C10" w:rsidRPr="00B62C10" w14:paraId="2383316A" w14:textId="77777777" w:rsidTr="00B62C10">
        <w:trPr>
          <w:trHeight w:val="402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6F8441C0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FDB46B4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IE"/>
              </w:rPr>
              <w:t>2019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A344D38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IE"/>
              </w:rPr>
              <w:t>2018</w:t>
            </w:r>
          </w:p>
        </w:tc>
      </w:tr>
      <w:tr w:rsidR="00B62C10" w:rsidRPr="00B62C10" w14:paraId="50A77DA8" w14:textId="77777777" w:rsidTr="00B62C10">
        <w:trPr>
          <w:trHeight w:val="402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7B0B81B3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Revenue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37BBA33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4,850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CA2E7E8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4,200</w:t>
            </w:r>
          </w:p>
        </w:tc>
      </w:tr>
      <w:tr w:rsidR="00B62C10" w:rsidRPr="00B62C10" w14:paraId="0686028E" w14:textId="77777777" w:rsidTr="00B62C10">
        <w:trPr>
          <w:trHeight w:val="402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448C6FB8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 xml:space="preserve">Cost of Sales 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AA6CFF1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  <w:t>3,200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C84322F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  <w:t>2,600</w:t>
            </w:r>
          </w:p>
        </w:tc>
      </w:tr>
      <w:tr w:rsidR="00B62C10" w:rsidRPr="00B62C10" w14:paraId="605BD1DA" w14:textId="77777777" w:rsidTr="00B62C10">
        <w:trPr>
          <w:trHeight w:val="402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5E1CAE04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 xml:space="preserve">Gross Profit 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D4CC4A5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1,650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520A4B7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1,600</w:t>
            </w:r>
          </w:p>
        </w:tc>
      </w:tr>
      <w:tr w:rsidR="00B62C10" w:rsidRPr="00B62C10" w14:paraId="766978F2" w14:textId="77777777" w:rsidTr="00B62C10">
        <w:trPr>
          <w:trHeight w:val="402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3D8E7C13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 xml:space="preserve">Distribution costs 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E3AC39D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-400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F6F284A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-300</w:t>
            </w:r>
          </w:p>
        </w:tc>
      </w:tr>
      <w:tr w:rsidR="00B62C10" w:rsidRPr="00B62C10" w14:paraId="09CB3CBC" w14:textId="77777777" w:rsidTr="00B62C10">
        <w:trPr>
          <w:trHeight w:val="402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4751C27E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lastRenderedPageBreak/>
              <w:t>Administrative expenses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69F28E0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-400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2EFEFB1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-300</w:t>
            </w:r>
          </w:p>
        </w:tc>
      </w:tr>
      <w:tr w:rsidR="00B62C10" w:rsidRPr="00B62C10" w14:paraId="07B83A53" w14:textId="77777777" w:rsidTr="00B62C10">
        <w:trPr>
          <w:trHeight w:val="402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54E5AD32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Finance costs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A323A26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  <w:t>-50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43ED7542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  <w:t>0</w:t>
            </w:r>
          </w:p>
        </w:tc>
      </w:tr>
      <w:tr w:rsidR="00B62C10" w:rsidRPr="00B62C10" w14:paraId="5BF33430" w14:textId="77777777" w:rsidTr="00B62C10">
        <w:trPr>
          <w:trHeight w:val="402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41A2315B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Profit before taxation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064C5A89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800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3A39F184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1,000</w:t>
            </w:r>
          </w:p>
        </w:tc>
      </w:tr>
      <w:tr w:rsidR="00B62C10" w:rsidRPr="00B62C10" w14:paraId="2DCDC1FF" w14:textId="77777777" w:rsidTr="00B62C10">
        <w:trPr>
          <w:trHeight w:val="402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1C25EA1C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Tax expense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592F163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  <w:t>-75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21434C2B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  <w:t>-100</w:t>
            </w:r>
          </w:p>
        </w:tc>
      </w:tr>
      <w:tr w:rsidR="00B62C10" w:rsidRPr="00B62C10" w14:paraId="252A1B8A" w14:textId="77777777" w:rsidTr="00B62C10">
        <w:trPr>
          <w:trHeight w:val="402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49982C34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PAT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6DE49530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725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753C4B85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900</w:t>
            </w:r>
          </w:p>
        </w:tc>
      </w:tr>
      <w:tr w:rsidR="00B62C10" w:rsidRPr="00B62C10" w14:paraId="27B662ED" w14:textId="77777777" w:rsidTr="00B62C10">
        <w:trPr>
          <w:trHeight w:val="402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5B6F381A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 xml:space="preserve">Dividend 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54C81569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  <w:t>-600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AEA406D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  <w:t>-300</w:t>
            </w:r>
          </w:p>
        </w:tc>
      </w:tr>
      <w:tr w:rsidR="00B62C10" w:rsidRPr="00B62C10" w14:paraId="462EDA83" w14:textId="77777777" w:rsidTr="00B62C10">
        <w:trPr>
          <w:trHeight w:val="402"/>
        </w:trPr>
        <w:tc>
          <w:tcPr>
            <w:tcW w:w="5820" w:type="dxa"/>
            <w:shd w:val="clear" w:color="auto" w:fill="auto"/>
            <w:noWrap/>
            <w:vAlign w:val="bottom"/>
            <w:hideMark/>
          </w:tcPr>
          <w:p w14:paraId="1AFDE2F6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Profit for the Year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8F8A813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125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14:paraId="165496EE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600</w:t>
            </w:r>
          </w:p>
        </w:tc>
      </w:tr>
    </w:tbl>
    <w:p w14:paraId="0E81BA52" w14:textId="77777777" w:rsidR="00342B65" w:rsidRDefault="00342B65" w:rsidP="00BE7C01">
      <w:pPr>
        <w:spacing w:line="360" w:lineRule="auto"/>
        <w:rPr>
          <w:rFonts w:ascii="Arial" w:hAnsi="Arial" w:cs="Arial"/>
          <w:sz w:val="24"/>
          <w:szCs w:val="24"/>
        </w:rPr>
      </w:pPr>
    </w:p>
    <w:p w14:paraId="21D59064" w14:textId="77777777" w:rsidR="00642AE6" w:rsidRDefault="00642AE6" w:rsidP="00BE7C01">
      <w:pPr>
        <w:spacing w:line="360" w:lineRule="auto"/>
        <w:rPr>
          <w:rFonts w:ascii="Arial" w:hAnsi="Arial" w:cs="Arial"/>
          <w:sz w:val="24"/>
          <w:szCs w:val="24"/>
        </w:rPr>
      </w:pPr>
    </w:p>
    <w:p w14:paraId="19111370" w14:textId="77777777" w:rsidR="00642AE6" w:rsidRDefault="00642AE6" w:rsidP="00BE7C01">
      <w:pPr>
        <w:spacing w:line="360" w:lineRule="auto"/>
        <w:rPr>
          <w:rFonts w:ascii="Arial" w:hAnsi="Arial" w:cs="Arial"/>
          <w:sz w:val="24"/>
          <w:szCs w:val="24"/>
        </w:rPr>
      </w:pPr>
    </w:p>
    <w:p w14:paraId="3F2371A0" w14:textId="77777777" w:rsidR="00642AE6" w:rsidRDefault="00642AE6" w:rsidP="00BE7C01">
      <w:pPr>
        <w:spacing w:line="360" w:lineRule="auto"/>
        <w:rPr>
          <w:rFonts w:ascii="Arial" w:hAnsi="Arial" w:cs="Arial"/>
          <w:sz w:val="24"/>
          <w:szCs w:val="24"/>
        </w:rPr>
      </w:pPr>
    </w:p>
    <w:p w14:paraId="4DCADAF8" w14:textId="77777777" w:rsidR="00F94C69" w:rsidRDefault="00F94C69" w:rsidP="00BE7C01">
      <w:pPr>
        <w:spacing w:line="360" w:lineRule="auto"/>
        <w:rPr>
          <w:rFonts w:ascii="Arial" w:hAnsi="Arial" w:cs="Arial"/>
          <w:sz w:val="24"/>
          <w:szCs w:val="24"/>
        </w:rPr>
      </w:pPr>
    </w:p>
    <w:p w14:paraId="7A3F3FBF" w14:textId="77777777" w:rsidR="00F94C69" w:rsidRDefault="00F94C69" w:rsidP="00BE7C01">
      <w:pPr>
        <w:spacing w:line="360" w:lineRule="auto"/>
        <w:rPr>
          <w:rFonts w:ascii="Arial" w:hAnsi="Arial" w:cs="Arial"/>
          <w:sz w:val="24"/>
          <w:szCs w:val="24"/>
        </w:rPr>
      </w:pPr>
    </w:p>
    <w:p w14:paraId="677D728D" w14:textId="77777777" w:rsidR="00642AE6" w:rsidRDefault="00642AE6" w:rsidP="00BE7C01">
      <w:pPr>
        <w:spacing w:line="360" w:lineRule="auto"/>
        <w:rPr>
          <w:rFonts w:ascii="Arial" w:hAnsi="Arial" w:cs="Arial"/>
          <w:sz w:val="24"/>
          <w:szCs w:val="24"/>
        </w:rPr>
      </w:pPr>
    </w:p>
    <w:p w14:paraId="52A08847" w14:textId="77777777" w:rsidR="00642AE6" w:rsidRDefault="00642AE6" w:rsidP="00BE7C01">
      <w:pPr>
        <w:spacing w:line="360" w:lineRule="auto"/>
        <w:rPr>
          <w:rFonts w:ascii="Arial" w:hAnsi="Arial" w:cs="Arial"/>
          <w:sz w:val="24"/>
          <w:szCs w:val="24"/>
        </w:rPr>
      </w:pPr>
    </w:p>
    <w:p w14:paraId="7398EBB3" w14:textId="77777777" w:rsidR="00642AE6" w:rsidRDefault="00642AE6" w:rsidP="00BE7C01">
      <w:pPr>
        <w:spacing w:line="360" w:lineRule="auto"/>
        <w:rPr>
          <w:rFonts w:ascii="Arial" w:hAnsi="Arial" w:cs="Arial"/>
          <w:sz w:val="24"/>
          <w:szCs w:val="24"/>
        </w:rPr>
      </w:pPr>
    </w:p>
    <w:p w14:paraId="4C971F0C" w14:textId="77777777" w:rsidR="00642AE6" w:rsidRDefault="00642AE6" w:rsidP="00BE7C01">
      <w:pPr>
        <w:spacing w:line="360" w:lineRule="auto"/>
        <w:rPr>
          <w:rFonts w:ascii="Arial" w:hAnsi="Arial" w:cs="Arial"/>
          <w:sz w:val="24"/>
          <w:szCs w:val="24"/>
        </w:rPr>
      </w:pPr>
    </w:p>
    <w:p w14:paraId="5C8EF449" w14:textId="77777777" w:rsidR="007209ED" w:rsidRPr="00335B2D" w:rsidRDefault="007209ED" w:rsidP="00BE7C01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2"/>
        <w:gridCol w:w="1442"/>
        <w:gridCol w:w="1445"/>
      </w:tblGrid>
      <w:tr w:rsidR="00B62C10" w:rsidRPr="00B62C10" w14:paraId="40F684BC" w14:textId="77777777" w:rsidTr="00CD1DD1">
        <w:trPr>
          <w:trHeight w:val="322"/>
        </w:trPr>
        <w:tc>
          <w:tcPr>
            <w:tcW w:w="9179" w:type="dxa"/>
            <w:gridSpan w:val="3"/>
            <w:shd w:val="clear" w:color="auto" w:fill="auto"/>
            <w:noWrap/>
            <w:vAlign w:val="bottom"/>
            <w:hideMark/>
          </w:tcPr>
          <w:p w14:paraId="733E880E" w14:textId="77777777" w:rsidR="00B62C10" w:rsidRPr="001F4F4A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  <w:lang w:eastAsia="en-IE"/>
              </w:rPr>
            </w:pPr>
            <w:r w:rsidRPr="001F4F4A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u w:val="single"/>
                <w:lang w:eastAsia="en-IE"/>
              </w:rPr>
              <w:t>Statement of Financial Position for Lockdown Ltd</w:t>
            </w:r>
          </w:p>
        </w:tc>
      </w:tr>
      <w:tr w:rsidR="00B62C10" w:rsidRPr="00B62C10" w14:paraId="4A0BA54A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4C4EFFAE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u w:val="single"/>
                <w:lang w:eastAsia="en-IE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0DB398D2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€,000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3DFA6544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€,000</w:t>
            </w:r>
          </w:p>
        </w:tc>
      </w:tr>
      <w:tr w:rsidR="00B62C10" w:rsidRPr="00B62C10" w14:paraId="5AA37B96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3BD0DB94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5684927C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IE"/>
              </w:rPr>
              <w:t>2019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36F47118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IE"/>
              </w:rPr>
              <w:t>2018</w:t>
            </w:r>
          </w:p>
        </w:tc>
      </w:tr>
      <w:tr w:rsidR="00B62C10" w:rsidRPr="00B62C10" w14:paraId="2A3564E4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4CC9097A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en-IE"/>
              </w:rPr>
              <w:t>Non-Current Assets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577D5AF2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en-IE"/>
              </w:rPr>
            </w:pP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7F16D6A5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</w:tc>
      </w:tr>
      <w:tr w:rsidR="00B62C10" w:rsidRPr="00B62C10" w14:paraId="0792B27B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5D6C3680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Property, plant &amp; Equipment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1B73A4C5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11,300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3E84CBFE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9,500</w:t>
            </w:r>
          </w:p>
        </w:tc>
      </w:tr>
      <w:tr w:rsidR="00B62C10" w:rsidRPr="00B62C10" w14:paraId="77C4337F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21D5DF0B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Goodwill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24DA71FA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  <w:t>200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6B535A83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  <w:t>0</w:t>
            </w:r>
          </w:p>
        </w:tc>
      </w:tr>
      <w:tr w:rsidR="00B62C10" w:rsidRPr="00B62C10" w14:paraId="11AF3649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3CF87C28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23BFEF76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11,500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15524F0C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9,500</w:t>
            </w:r>
          </w:p>
        </w:tc>
      </w:tr>
      <w:tr w:rsidR="00B62C10" w:rsidRPr="00B62C10" w14:paraId="14779C89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09C24778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en-IE"/>
              </w:rPr>
              <w:t xml:space="preserve">Current Assets 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7D3C7BDD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en-IE"/>
              </w:rPr>
            </w:pP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1468D31C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</w:tc>
      </w:tr>
      <w:tr w:rsidR="00B62C10" w:rsidRPr="00B62C10" w14:paraId="64774672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4BBCF28F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Inventories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2AB23A08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650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126915D5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180</w:t>
            </w:r>
          </w:p>
        </w:tc>
      </w:tr>
      <w:tr w:rsidR="00B62C10" w:rsidRPr="00B62C10" w14:paraId="588A95F6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4ED67AD9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Trade Receivables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1533C534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450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7E2124B8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60</w:t>
            </w:r>
          </w:p>
        </w:tc>
      </w:tr>
      <w:tr w:rsidR="00B62C10" w:rsidRPr="00B62C10" w14:paraId="56490391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57A7E697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Bank or Cash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5F462218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  <w:t>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2096DA7F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  <w:t>500</w:t>
            </w:r>
          </w:p>
        </w:tc>
      </w:tr>
      <w:tr w:rsidR="00B62C10" w:rsidRPr="00B62C10" w14:paraId="39AEF611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4A1AABD0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7C3E381B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1,100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79FB5313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740</w:t>
            </w:r>
          </w:p>
        </w:tc>
      </w:tr>
      <w:tr w:rsidR="00B62C10" w:rsidRPr="00B62C10" w14:paraId="4539D680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0822AEE4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 xml:space="preserve">Total Assets 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359C0399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double"/>
                <w:lang w:eastAsia="en-IE"/>
              </w:rPr>
            </w:pPr>
            <w:r w:rsidRPr="00B62C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double"/>
                <w:lang w:eastAsia="en-IE"/>
              </w:rPr>
              <w:t>12,600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3D42C2D9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double"/>
                <w:lang w:eastAsia="en-IE"/>
              </w:rPr>
            </w:pPr>
            <w:r w:rsidRPr="00B62C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double"/>
                <w:lang w:eastAsia="en-IE"/>
              </w:rPr>
              <w:t>10,240</w:t>
            </w:r>
          </w:p>
        </w:tc>
      </w:tr>
      <w:tr w:rsidR="00B62C10" w:rsidRPr="00B62C10" w14:paraId="3603017F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56E6B3E8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double"/>
                <w:lang w:eastAsia="en-IE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6B90A917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27B3C115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</w:tc>
      </w:tr>
      <w:tr w:rsidR="00B62C10" w:rsidRPr="00B62C10" w14:paraId="3223F7D4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2C5D27D3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0CCD9675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4611C0F3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</w:tc>
      </w:tr>
      <w:tr w:rsidR="00B62C10" w:rsidRPr="00B62C10" w14:paraId="3119C4AD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28E759C8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en-IE"/>
              </w:rPr>
              <w:t>Equity and liabilities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4E6C185C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en-IE"/>
              </w:rPr>
            </w:pP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23EF5EEF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</w:tc>
      </w:tr>
      <w:tr w:rsidR="00B62C10" w:rsidRPr="00B62C10" w14:paraId="4F157472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449AF01F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en-IE"/>
              </w:rPr>
              <w:t xml:space="preserve">Equity 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06FAB5D9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en-IE"/>
              </w:rPr>
            </w:pP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5B1EFE7A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</w:tc>
      </w:tr>
      <w:tr w:rsidR="00B62C10" w:rsidRPr="00B62C10" w14:paraId="7E60CFAF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0521295C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Issued equity share capital (€2)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643C7022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6,500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7DA6ADA7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6,300</w:t>
            </w:r>
          </w:p>
        </w:tc>
      </w:tr>
      <w:tr w:rsidR="00B62C10" w:rsidRPr="00B62C10" w14:paraId="74BACF4B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630C5BB1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Retained Earning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6C267D86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  <w:t>4,125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1BAA70EC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  <w:t>3,400</w:t>
            </w:r>
          </w:p>
        </w:tc>
      </w:tr>
      <w:tr w:rsidR="00B62C10" w:rsidRPr="00B62C10" w14:paraId="1CF3C2F0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3DAF6DFA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0E1AE1DF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10,625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3857D784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9,700</w:t>
            </w:r>
          </w:p>
        </w:tc>
      </w:tr>
      <w:tr w:rsidR="00B62C10" w:rsidRPr="00B62C10" w14:paraId="7AAC19AF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4E8A3ED0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en-IE"/>
              </w:rPr>
              <w:t xml:space="preserve">Non-current liabilities 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2898924C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en-IE"/>
              </w:rPr>
            </w:pP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00313432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</w:tc>
      </w:tr>
      <w:tr w:rsidR="00B62C10" w:rsidRPr="00B62C10" w14:paraId="04C3CE87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37623F45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Long-term loan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4F22031F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1,000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66DE99EC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0</w:t>
            </w:r>
          </w:p>
        </w:tc>
      </w:tr>
      <w:tr w:rsidR="00B62C10" w:rsidRPr="00B62C10" w14:paraId="1BB3574E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66D6B1B6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556C7473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3CBC37BE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</w:tc>
      </w:tr>
      <w:tr w:rsidR="00B62C10" w:rsidRPr="00B62C10" w14:paraId="0754CB9F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4A2918A9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en-IE"/>
              </w:rPr>
              <w:t xml:space="preserve">Current liabilities 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25A3F69E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u w:val="single"/>
                <w:lang w:eastAsia="en-IE"/>
              </w:rPr>
            </w:pP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1E38E278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</w:tc>
      </w:tr>
      <w:tr w:rsidR="00B62C10" w:rsidRPr="00B62C10" w14:paraId="760F4EF0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5B1444D0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Trade payables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33A0C64A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400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39E3DFD9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440</w:t>
            </w:r>
          </w:p>
        </w:tc>
      </w:tr>
      <w:tr w:rsidR="00B62C10" w:rsidRPr="00B62C10" w14:paraId="659CEE05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4454357D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Current tax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6D94D041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75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01063146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100</w:t>
            </w:r>
          </w:p>
        </w:tc>
      </w:tr>
      <w:tr w:rsidR="00B62C10" w:rsidRPr="00B62C10" w14:paraId="1B8AE027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50641A5F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 xml:space="preserve">Bank overdraft 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2B548AAD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  <w:t>500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6558D25B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  <w:t>0</w:t>
            </w:r>
          </w:p>
        </w:tc>
      </w:tr>
      <w:tr w:rsidR="00B62C10" w:rsidRPr="00B62C10" w14:paraId="0C22BDE7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39C5EBA5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E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78EDEA9C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975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5A4E626C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540</w:t>
            </w:r>
          </w:p>
        </w:tc>
      </w:tr>
      <w:tr w:rsidR="00B62C10" w:rsidRPr="00B62C10" w14:paraId="7105444F" w14:textId="77777777" w:rsidTr="00CD1DD1">
        <w:trPr>
          <w:trHeight w:val="322"/>
        </w:trPr>
        <w:tc>
          <w:tcPr>
            <w:tcW w:w="6292" w:type="dxa"/>
            <w:shd w:val="clear" w:color="auto" w:fill="auto"/>
            <w:noWrap/>
            <w:vAlign w:val="bottom"/>
            <w:hideMark/>
          </w:tcPr>
          <w:p w14:paraId="2BDBF347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</w:pPr>
            <w:r w:rsidRPr="00B62C1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IE"/>
              </w:rPr>
              <w:t>Total equity and liabilities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14:paraId="3010B2A7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double"/>
                <w:lang w:eastAsia="en-IE"/>
              </w:rPr>
            </w:pPr>
            <w:r w:rsidRPr="00B62C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double"/>
                <w:lang w:eastAsia="en-IE"/>
              </w:rPr>
              <w:t>12,600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0BA26B91" w14:textId="77777777" w:rsidR="00B62C10" w:rsidRPr="00B62C10" w:rsidRDefault="00B62C10" w:rsidP="00B62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double"/>
                <w:lang w:eastAsia="en-IE"/>
              </w:rPr>
            </w:pPr>
            <w:r w:rsidRPr="00B62C1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double"/>
                <w:lang w:eastAsia="en-IE"/>
              </w:rPr>
              <w:t>10,240</w:t>
            </w:r>
          </w:p>
        </w:tc>
      </w:tr>
    </w:tbl>
    <w:p w14:paraId="721A7219" w14:textId="77777777" w:rsidR="007209ED" w:rsidRPr="00335B2D" w:rsidRDefault="007209ED" w:rsidP="00335B2D">
      <w:pPr>
        <w:spacing w:line="360" w:lineRule="auto"/>
        <w:rPr>
          <w:rFonts w:ascii="Arial" w:hAnsi="Arial" w:cs="Arial"/>
          <w:sz w:val="24"/>
          <w:szCs w:val="24"/>
        </w:rPr>
      </w:pPr>
    </w:p>
    <w:p w14:paraId="7B981C65" w14:textId="77777777" w:rsidR="00495975" w:rsidRPr="00495975" w:rsidRDefault="00495975" w:rsidP="00495975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95975">
        <w:rPr>
          <w:rFonts w:ascii="Arial" w:hAnsi="Arial" w:cs="Arial"/>
          <w:b/>
          <w:sz w:val="24"/>
          <w:szCs w:val="24"/>
          <w:u w:val="single"/>
        </w:rPr>
        <w:t>Note:</w:t>
      </w:r>
    </w:p>
    <w:p w14:paraId="15863D83" w14:textId="77777777" w:rsidR="00495975" w:rsidRPr="00495975" w:rsidRDefault="00495975" w:rsidP="00495975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95975">
        <w:rPr>
          <w:rFonts w:ascii="Arial" w:hAnsi="Arial" w:cs="Arial"/>
          <w:sz w:val="24"/>
          <w:szCs w:val="24"/>
        </w:rPr>
        <w:t xml:space="preserve">1.5 line spacing </w:t>
      </w:r>
    </w:p>
    <w:p w14:paraId="59F296F1" w14:textId="77777777" w:rsidR="00495975" w:rsidRPr="00495975" w:rsidRDefault="00495975" w:rsidP="00495975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95975">
        <w:rPr>
          <w:rFonts w:ascii="Arial" w:hAnsi="Arial" w:cs="Arial"/>
          <w:sz w:val="24"/>
          <w:szCs w:val="24"/>
        </w:rPr>
        <w:t xml:space="preserve">Calibri or Times new Roman </w:t>
      </w:r>
    </w:p>
    <w:p w14:paraId="4A9578E9" w14:textId="77777777" w:rsidR="00495975" w:rsidRPr="00495975" w:rsidRDefault="00495975" w:rsidP="00495975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95975">
        <w:rPr>
          <w:rFonts w:ascii="Arial" w:hAnsi="Arial" w:cs="Arial"/>
          <w:sz w:val="24"/>
          <w:szCs w:val="24"/>
        </w:rPr>
        <w:t xml:space="preserve">Table of Contents </w:t>
      </w:r>
    </w:p>
    <w:p w14:paraId="634C68EB" w14:textId="77777777" w:rsidR="00495975" w:rsidRPr="00495975" w:rsidRDefault="00495975" w:rsidP="00495975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95975">
        <w:rPr>
          <w:rFonts w:ascii="Arial" w:hAnsi="Arial" w:cs="Arial"/>
          <w:sz w:val="24"/>
          <w:szCs w:val="24"/>
        </w:rPr>
        <w:t>Cover Page</w:t>
      </w:r>
    </w:p>
    <w:p w14:paraId="0561FD41" w14:textId="77777777" w:rsidR="00495975" w:rsidRPr="00495975" w:rsidRDefault="00495975" w:rsidP="00495975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95975">
        <w:rPr>
          <w:rFonts w:ascii="Arial" w:hAnsi="Arial" w:cs="Arial"/>
          <w:sz w:val="24"/>
          <w:szCs w:val="24"/>
        </w:rPr>
        <w:t>Colour/Art/Pictures</w:t>
      </w:r>
    </w:p>
    <w:p w14:paraId="1B3D6016" w14:textId="77777777" w:rsidR="00495975" w:rsidRPr="00495975" w:rsidRDefault="00495975" w:rsidP="00495975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495975">
        <w:rPr>
          <w:rFonts w:ascii="Arial" w:hAnsi="Arial" w:cs="Arial"/>
          <w:sz w:val="24"/>
          <w:szCs w:val="24"/>
        </w:rPr>
        <w:t xml:space="preserve">Save the document, one document as your name </w:t>
      </w:r>
    </w:p>
    <w:p w14:paraId="1C9BEBAF" w14:textId="77777777" w:rsidR="007209ED" w:rsidRPr="00335B2D" w:rsidRDefault="007209ED" w:rsidP="00BE7C0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209ED" w:rsidRPr="00335B2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42074" w14:textId="77777777" w:rsidR="00675E90" w:rsidRDefault="00675E90" w:rsidP="004A1B4A">
      <w:pPr>
        <w:spacing w:after="0" w:line="240" w:lineRule="auto"/>
      </w:pPr>
      <w:r>
        <w:separator/>
      </w:r>
    </w:p>
  </w:endnote>
  <w:endnote w:type="continuationSeparator" w:id="0">
    <w:p w14:paraId="29EEA4A8" w14:textId="77777777" w:rsidR="00675E90" w:rsidRDefault="00675E90" w:rsidP="004A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40E69" w14:textId="77777777" w:rsidR="004A1B4A" w:rsidRDefault="004A1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83ABE" w14:textId="77777777" w:rsidR="00675E90" w:rsidRDefault="00675E90" w:rsidP="004A1B4A">
      <w:pPr>
        <w:spacing w:after="0" w:line="240" w:lineRule="auto"/>
      </w:pPr>
      <w:r>
        <w:separator/>
      </w:r>
    </w:p>
  </w:footnote>
  <w:footnote w:type="continuationSeparator" w:id="0">
    <w:p w14:paraId="6E209296" w14:textId="77777777" w:rsidR="00675E90" w:rsidRDefault="00675E90" w:rsidP="004A1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43370"/>
    <w:multiLevelType w:val="hybridMultilevel"/>
    <w:tmpl w:val="0CBE41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42DA8"/>
    <w:multiLevelType w:val="hybridMultilevel"/>
    <w:tmpl w:val="A4363A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80876"/>
    <w:multiLevelType w:val="hybridMultilevel"/>
    <w:tmpl w:val="98709824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3FE6"/>
    <w:multiLevelType w:val="hybridMultilevel"/>
    <w:tmpl w:val="68FAC3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92687"/>
    <w:multiLevelType w:val="hybridMultilevel"/>
    <w:tmpl w:val="A6D829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74F55"/>
    <w:multiLevelType w:val="hybridMultilevel"/>
    <w:tmpl w:val="55146E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123"/>
    <w:rsid w:val="00052C90"/>
    <w:rsid w:val="000843A6"/>
    <w:rsid w:val="000A5069"/>
    <w:rsid w:val="000C2C71"/>
    <w:rsid w:val="000D4281"/>
    <w:rsid w:val="000E1F7D"/>
    <w:rsid w:val="000E4598"/>
    <w:rsid w:val="00176DAB"/>
    <w:rsid w:val="00177E98"/>
    <w:rsid w:val="001C0B5F"/>
    <w:rsid w:val="001C1F65"/>
    <w:rsid w:val="001F4F4A"/>
    <w:rsid w:val="00265DD5"/>
    <w:rsid w:val="002E6A12"/>
    <w:rsid w:val="00303552"/>
    <w:rsid w:val="0030430C"/>
    <w:rsid w:val="00335B2D"/>
    <w:rsid w:val="00342B65"/>
    <w:rsid w:val="00432659"/>
    <w:rsid w:val="00495975"/>
    <w:rsid w:val="004A1B4A"/>
    <w:rsid w:val="004F5123"/>
    <w:rsid w:val="00524209"/>
    <w:rsid w:val="00537BFF"/>
    <w:rsid w:val="00537E9F"/>
    <w:rsid w:val="005808C7"/>
    <w:rsid w:val="005850B8"/>
    <w:rsid w:val="00597163"/>
    <w:rsid w:val="005B0FE1"/>
    <w:rsid w:val="005C5527"/>
    <w:rsid w:val="005E6AB1"/>
    <w:rsid w:val="005F5F65"/>
    <w:rsid w:val="0061707D"/>
    <w:rsid w:val="00642AE6"/>
    <w:rsid w:val="00675E90"/>
    <w:rsid w:val="00697201"/>
    <w:rsid w:val="006B45FF"/>
    <w:rsid w:val="006C4DC5"/>
    <w:rsid w:val="007209ED"/>
    <w:rsid w:val="00760ACB"/>
    <w:rsid w:val="007A477B"/>
    <w:rsid w:val="007B1882"/>
    <w:rsid w:val="007E083F"/>
    <w:rsid w:val="007F411E"/>
    <w:rsid w:val="00851B45"/>
    <w:rsid w:val="00852AD4"/>
    <w:rsid w:val="008E3053"/>
    <w:rsid w:val="0090795F"/>
    <w:rsid w:val="00927691"/>
    <w:rsid w:val="009B0490"/>
    <w:rsid w:val="009C18F1"/>
    <w:rsid w:val="009C2CA2"/>
    <w:rsid w:val="009F47C8"/>
    <w:rsid w:val="00A16299"/>
    <w:rsid w:val="00A33935"/>
    <w:rsid w:val="00A52B99"/>
    <w:rsid w:val="00AC68C5"/>
    <w:rsid w:val="00B545DE"/>
    <w:rsid w:val="00B62C10"/>
    <w:rsid w:val="00B633EE"/>
    <w:rsid w:val="00B66D3B"/>
    <w:rsid w:val="00B66F16"/>
    <w:rsid w:val="00BA2777"/>
    <w:rsid w:val="00BA59B2"/>
    <w:rsid w:val="00BA6B79"/>
    <w:rsid w:val="00BA7D51"/>
    <w:rsid w:val="00BD18B2"/>
    <w:rsid w:val="00BE7C01"/>
    <w:rsid w:val="00C47ED6"/>
    <w:rsid w:val="00C72789"/>
    <w:rsid w:val="00C853B1"/>
    <w:rsid w:val="00C86935"/>
    <w:rsid w:val="00CD1DD1"/>
    <w:rsid w:val="00D1216D"/>
    <w:rsid w:val="00D46F26"/>
    <w:rsid w:val="00D520F0"/>
    <w:rsid w:val="00D834DD"/>
    <w:rsid w:val="00E228EA"/>
    <w:rsid w:val="00E571E1"/>
    <w:rsid w:val="00EB23B7"/>
    <w:rsid w:val="00EC55FF"/>
    <w:rsid w:val="00F02D2A"/>
    <w:rsid w:val="00F62D29"/>
    <w:rsid w:val="00F94C69"/>
    <w:rsid w:val="00FA0488"/>
    <w:rsid w:val="00FC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65D92"/>
  <w15:chartTrackingRefBased/>
  <w15:docId w15:val="{4BCED413-A17E-4395-8ADF-D1D0E95F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B4A"/>
  </w:style>
  <w:style w:type="paragraph" w:styleId="Footer">
    <w:name w:val="footer"/>
    <w:basedOn w:val="Normal"/>
    <w:link w:val="FooterChar"/>
    <w:uiPriority w:val="99"/>
    <w:unhideWhenUsed/>
    <w:rsid w:val="004A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B4A"/>
  </w:style>
  <w:style w:type="paragraph" w:styleId="Title">
    <w:name w:val="Title"/>
    <w:basedOn w:val="Normal"/>
    <w:next w:val="Normal"/>
    <w:link w:val="TitleChar"/>
    <w:uiPriority w:val="10"/>
    <w:qFormat/>
    <w:rsid w:val="00B545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5D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727C2-46C7-470E-9A1A-A6129CA2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5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Kelly</dc:creator>
  <cp:keywords/>
  <dc:description/>
  <cp:lastModifiedBy>Judit Anna Gal</cp:lastModifiedBy>
  <cp:revision>73</cp:revision>
  <dcterms:created xsi:type="dcterms:W3CDTF">2020-01-17T13:57:00Z</dcterms:created>
  <dcterms:modified xsi:type="dcterms:W3CDTF">2021-03-27T10:24:00Z</dcterms:modified>
</cp:coreProperties>
</file>